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AD" w:rsidRDefault="005B38AD" w:rsidP="005B38AD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Tavola: 7.3: I livelli di abilità in Italiano – III 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5B38AD" w:rsidTr="00FA6B6B">
        <w:tc>
          <w:tcPr>
            <w:tcW w:w="1951" w:type="dxa"/>
          </w:tcPr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1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. 120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7827" w:type="dxa"/>
          </w:tcPr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ricostruire il significato di un termine o di un'espressione a partire da indizi espliciti nel testo. Individua correttamente un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informazione data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esplicitamente nel testo, in particolare quando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facilitato dalla presenza nella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domanda di termini o espressioni riprese nella medesima porzione di testo.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grado di effettuare una semplice inferenza con lo scopo di ricostruire il significato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di una piccola porzione di testo. Sa comprendere e interpretare correttamente il ruolo dei personaggi all'interno di una storia.</w:t>
            </w:r>
          </w:p>
        </w:tc>
        <w:bookmarkStart w:id="0" w:name="_GoBack"/>
        <w:bookmarkEnd w:id="0"/>
      </w:tr>
      <w:tr w:rsidR="005B38AD" w:rsidTr="00FA6B6B">
        <w:tc>
          <w:tcPr>
            <w:tcW w:w="1951" w:type="dxa"/>
          </w:tcPr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2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. 152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7827" w:type="dxa"/>
          </w:tcPr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 di interpretare correttamente l'utilizzo figurato di termini ed espressioni a partire da indizi testuali collocati in frasi distinte ma comunque contigue fra loro. Sa individuare informazioni a partire da elementi dati e ripetuti in pi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ù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frasi contigue fra loro. Ricostruisce correttamente il significato del testo a livello locale e globale, integrando fra loro informazioni date esplicitamente nella medesima porzione di testo. Sa individuare l'argomento principale del testo.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B38AD" w:rsidTr="00FA6B6B">
        <w:tc>
          <w:tcPr>
            <w:tcW w:w="1951" w:type="dxa"/>
          </w:tcPr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3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. 184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7827" w:type="dxa"/>
          </w:tcPr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 di ricavare il significato di un termine o di una espressione non comune a partire da indizi presentati in frasi collocate in diverse parti di testo, anche non contigue, anche attraverso il ricorso all'enciclopedia personale.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in grado di individuare informazioni contenute in frasi complesse. Ricostruisce correttamente il significato del testo a livello locale e globale.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capace, inoltre, di individuare la struttura narrativa di un testo e la funzione di espressioni complesse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(anche da un punto di vista lessicale). Sa cogliere l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opinione o l'intenzione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dell'autore di un testo.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B38AD" w:rsidTr="00FA6B6B">
        <w:tc>
          <w:tcPr>
            <w:tcW w:w="1951" w:type="dxa"/>
          </w:tcPr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4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. 216</w:t>
            </w:r>
          </w:p>
          <w:p w:rsidR="005B38AD" w:rsidRPr="00626CC0" w:rsidRDefault="005B38AD" w:rsidP="00FA6B6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7827" w:type="dxa"/>
          </w:tcPr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 di comprendere termini ed espressioni usate con significato figurato. Ricostruisce correttamente il significato di parti complesse di testo attraverso l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interpretazione di termini usati in maniera polisemica, che possono essere compresi a partire da informazioni date in pi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ù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parti di testo.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 di operare inferenze complesse e di ricavare informazioni da un grafico presentato in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>un testo misto.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B38AD" w:rsidTr="00FA6B6B">
        <w:trPr>
          <w:trHeight w:val="70"/>
        </w:trPr>
        <w:tc>
          <w:tcPr>
            <w:tcW w:w="1951" w:type="dxa"/>
          </w:tcPr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Livello 5</w:t>
            </w:r>
          </w:p>
          <w:p w:rsidR="005B38AD" w:rsidRPr="00626CC0" w:rsidRDefault="005B38AD" w:rsidP="00FA6B6B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b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 xml:space="preserve">Limite </w:t>
            </w:r>
            <w:proofErr w:type="spellStart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inf</w:t>
            </w:r>
            <w:proofErr w:type="spellEnd"/>
            <w:r w:rsidRPr="00626CC0">
              <w:rPr>
                <w:rFonts w:ascii="TimesNewRomanPSMT" w:eastAsia="TimesNewRomanPSMT" w:cs="TimesNewRomanPSMT"/>
                <w:b/>
                <w:sz w:val="20"/>
                <w:szCs w:val="20"/>
              </w:rPr>
              <w:t>. 248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7827" w:type="dxa"/>
          </w:tcPr>
          <w:p w:rsidR="005B38AD" w:rsidRPr="00626CC0" w:rsidRDefault="005B38AD" w:rsidP="00FA6B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Lo studente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 di individuare correttamente il significato di termini desueti o usati in senso figurato, utilizzando l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’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enciclopedia personale e indizi testuali presentati in forma sinonimica. </w:t>
            </w:r>
            <w:r w:rsidRPr="00626CC0">
              <w:rPr>
                <w:rFonts w:ascii="TimesNewRomanPSMT" w:eastAsia="TimesNewRomanPSMT" w:cs="TimesNewRomanPSMT" w:hint="eastAsia"/>
                <w:sz w:val="20"/>
                <w:szCs w:val="20"/>
              </w:rPr>
              <w:t>È</w:t>
            </w:r>
            <w:r w:rsidRPr="00626CC0">
              <w:rPr>
                <w:rFonts w:ascii="TimesNewRomanPSMT" w:eastAsia="TimesNewRomanPSMT" w:cs="TimesNewRomanPSMT"/>
                <w:sz w:val="20"/>
                <w:szCs w:val="20"/>
              </w:rPr>
              <w:t xml:space="preserve"> capace di operare sintesi del testo a livello locale e globale. Sa comprendere correttamente un grafico complesso presentato in un testo misto. Sa, inoltre, interpretare efficacemente la funzione comunicativa di un testo.</w:t>
            </w:r>
          </w:p>
          <w:p w:rsidR="005B38AD" w:rsidRPr="00626CC0" w:rsidRDefault="005B38AD" w:rsidP="00FA6B6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93536D" w:rsidRDefault="0093536D"/>
    <w:sectPr w:rsidR="0093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0"/>
    <w:rsid w:val="005B38AD"/>
    <w:rsid w:val="0093536D"/>
    <w:rsid w:val="00A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Filena</dc:creator>
  <cp:keywords/>
  <dc:description/>
  <cp:lastModifiedBy>Filena</cp:lastModifiedBy>
  <cp:revision>2</cp:revision>
  <dcterms:created xsi:type="dcterms:W3CDTF">2017-10-15T09:36:00Z</dcterms:created>
  <dcterms:modified xsi:type="dcterms:W3CDTF">2017-10-15T09:38:00Z</dcterms:modified>
</cp:coreProperties>
</file>