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0" w:sz="4" w:val="single"/>
        </w:pBdr>
        <w:spacing w:line="240" w:lineRule="auto"/>
        <w:rPr>
          <w:b w:val="1"/>
          <w:sz w:val="32"/>
          <w:szCs w:val="32"/>
        </w:rPr>
      </w:pPr>
      <w:r w:rsidDel="00000000" w:rsidR="00000000" w:rsidRPr="00000000">
        <w:rPr>
          <w:b w:val="1"/>
          <w:sz w:val="20"/>
          <w:szCs w:val="20"/>
          <w:rtl w:val="0"/>
        </w:rPr>
        <w:t xml:space="preserve">Docente di Scuola:   </w:t>
      </w:r>
      <w:r w:rsidDel="00000000" w:rsidR="00000000" w:rsidRPr="00000000">
        <w:rPr>
          <w:b w:val="1"/>
          <w:sz w:val="32"/>
          <w:szCs w:val="32"/>
          <w:rtl w:val="0"/>
        </w:rPr>
        <w:t xml:space="preserve">□ </w:t>
      </w:r>
      <w:r w:rsidDel="00000000" w:rsidR="00000000" w:rsidRPr="00000000">
        <w:rPr>
          <w:b w:val="1"/>
          <w:rtl w:val="0"/>
        </w:rPr>
        <w:t xml:space="preserve">Infanzia-</w:t>
        <w:tab/>
      </w:r>
      <w:r w:rsidDel="00000000" w:rsidR="00000000" w:rsidRPr="00000000">
        <w:rPr>
          <w:b w:val="1"/>
          <w:sz w:val="32"/>
          <w:szCs w:val="32"/>
          <w:rtl w:val="0"/>
        </w:rPr>
        <w:t xml:space="preserve">□ </w:t>
      </w:r>
      <w:r w:rsidDel="00000000" w:rsidR="00000000" w:rsidRPr="00000000">
        <w:rPr>
          <w:b w:val="1"/>
          <w:rtl w:val="0"/>
        </w:rPr>
        <w:t xml:space="preserve">Primaria </w:t>
        <w:tab/>
        <w:t xml:space="preserve">Posto :  </w:t>
      </w:r>
      <w:r w:rsidDel="00000000" w:rsidR="00000000" w:rsidRPr="00000000">
        <w:rPr>
          <w:b w:val="1"/>
          <w:sz w:val="32"/>
          <w:szCs w:val="32"/>
          <w:rtl w:val="0"/>
        </w:rPr>
        <w:t xml:space="preserve">□ </w:t>
      </w:r>
      <w:r w:rsidDel="00000000" w:rsidR="00000000" w:rsidRPr="00000000">
        <w:rPr>
          <w:b w:val="1"/>
          <w:rtl w:val="0"/>
        </w:rPr>
        <w:t xml:space="preserve">Comune </w:t>
        <w:tab/>
      </w:r>
      <w:r w:rsidDel="00000000" w:rsidR="00000000" w:rsidRPr="00000000">
        <w:rPr>
          <w:b w:val="1"/>
          <w:sz w:val="32"/>
          <w:szCs w:val="32"/>
          <w:rtl w:val="0"/>
        </w:rPr>
        <w:t xml:space="preserve">□ </w:t>
      </w:r>
      <w:r w:rsidDel="00000000" w:rsidR="00000000" w:rsidRPr="00000000">
        <w:rPr>
          <w:b w:val="1"/>
          <w:rtl w:val="0"/>
        </w:rPr>
        <w:t xml:space="preserve">Sostegno </w:t>
        <w:tab/>
        <w:tab/>
      </w:r>
      <w:r w:rsidDel="00000000" w:rsidR="00000000" w:rsidRPr="00000000">
        <w:rPr>
          <w:b w:val="1"/>
          <w:sz w:val="32"/>
          <w:szCs w:val="32"/>
          <w:rtl w:val="0"/>
        </w:rPr>
        <w:t xml:space="preserve">□ </w:t>
      </w:r>
      <w:r w:rsidDel="00000000" w:rsidR="00000000" w:rsidRPr="00000000">
        <w:rPr>
          <w:b w:val="1"/>
          <w:rtl w:val="0"/>
        </w:rPr>
        <w:t xml:space="preserve">Inglese</w:t>
      </w:r>
      <w:r w:rsidDel="00000000" w:rsidR="00000000" w:rsidRPr="00000000">
        <w:rPr>
          <w:b w:val="1"/>
          <w:sz w:val="32"/>
          <w:szCs w:val="32"/>
          <w:rtl w:val="0"/>
        </w:rPr>
        <w:t xml:space="preserve"> </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0" w:sz="4" w:val="single"/>
        </w:pBdr>
        <w:spacing w:line="240" w:lineRule="auto"/>
        <w:rPr>
          <w:b w:val="1"/>
        </w:rPr>
      </w:pPr>
      <w:r w:rsidDel="00000000" w:rsidR="00000000" w:rsidRPr="00000000">
        <w:rPr>
          <w:b w:val="1"/>
          <w:rtl w:val="0"/>
        </w:rPr>
        <w:t xml:space="preserve">Docente di scuola infanzia/primaria/ secondaria 1°grado </w:t>
      </w:r>
      <w:r w:rsidDel="00000000" w:rsidR="00000000" w:rsidRPr="00000000">
        <w:rPr>
          <w:b w:val="1"/>
          <w:sz w:val="32"/>
          <w:szCs w:val="32"/>
          <w:rtl w:val="0"/>
        </w:rPr>
        <w:t xml:space="preserve">□ </w:t>
      </w:r>
      <w:r w:rsidDel="00000000" w:rsidR="00000000" w:rsidRPr="00000000">
        <w:rPr>
          <w:b w:val="1"/>
          <w:rtl w:val="0"/>
        </w:rPr>
        <w:t xml:space="preserve">Cl/Conc :___________ -Posto:</w:t>
        <w:tab/>
        <w:t xml:space="preserve"> </w:t>
      </w:r>
      <w:r w:rsidDel="00000000" w:rsidR="00000000" w:rsidRPr="00000000">
        <w:rPr>
          <w:b w:val="1"/>
          <w:sz w:val="32"/>
          <w:szCs w:val="32"/>
          <w:rtl w:val="0"/>
        </w:rPr>
        <w:t xml:space="preserve">□ </w:t>
      </w:r>
      <w:r w:rsidDel="00000000" w:rsidR="00000000" w:rsidRPr="00000000">
        <w:rPr>
          <w:b w:val="1"/>
          <w:rtl w:val="0"/>
        </w:rPr>
        <w:t xml:space="preserve">Normale</w:t>
      </w:r>
      <w:r w:rsidDel="00000000" w:rsidR="00000000" w:rsidRPr="00000000">
        <w:rPr>
          <w:b w:val="1"/>
          <w:sz w:val="32"/>
          <w:szCs w:val="32"/>
          <w:rtl w:val="0"/>
        </w:rPr>
        <w:t xml:space="preserve"> </w:t>
        <w:tab/>
        <w:tab/>
        <w:t xml:space="preserve">□ </w:t>
      </w:r>
      <w:r w:rsidDel="00000000" w:rsidR="00000000" w:rsidRPr="00000000">
        <w:rPr>
          <w:b w:val="1"/>
          <w:rtl w:val="0"/>
        </w:rPr>
        <w:t xml:space="preserve">Sostegno</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3">
      <w:pPr>
        <w:spacing w:after="0" w:line="360" w:lineRule="auto"/>
        <w:jc w:val="both"/>
        <w:rPr>
          <w:color w:val="000000"/>
          <w:sz w:val="20"/>
          <w:szCs w:val="20"/>
        </w:rPr>
      </w:pPr>
      <w:r w:rsidDel="00000000" w:rsidR="00000000" w:rsidRPr="00000000">
        <w:rPr>
          <w:sz w:val="20"/>
          <w:szCs w:val="20"/>
          <w:rtl w:val="0"/>
        </w:rPr>
        <w:t xml:space="preserve">Il/La sottoscritt__   ___________________________________________   nat__ a ____________________________ prov. (___)  il ____/_____/_____ residente in _______________________________ insegnante di  _________________________________ (classe di concorso __________) </w:t>
      </w:r>
      <w:r w:rsidDel="00000000" w:rsidR="00000000" w:rsidRPr="00000000">
        <w:rPr>
          <w:color w:val="000000"/>
          <w:sz w:val="20"/>
          <w:szCs w:val="20"/>
          <w:rtl w:val="0"/>
        </w:rPr>
        <w:t xml:space="preserve">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000000" w:rsidDel="00000000" w:rsidP="00000000" w:rsidRDefault="00000000" w:rsidRPr="00000000" w14:paraId="00000004">
      <w:pPr>
        <w:spacing w:after="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05">
      <w:pPr>
        <w:spacing w:after="0" w:line="240" w:lineRule="auto"/>
        <w:jc w:val="center"/>
        <w:rPr>
          <w:color w:val="000000"/>
          <w:sz w:val="20"/>
          <w:szCs w:val="20"/>
        </w:rPr>
      </w:pPr>
      <w:r w:rsidDel="00000000" w:rsidR="00000000" w:rsidRPr="00000000">
        <w:rPr>
          <w:rtl w:val="0"/>
        </w:rPr>
      </w:r>
    </w:p>
    <w:tbl>
      <w:tblPr>
        <w:tblStyle w:val="Table1"/>
        <w:tblW w:w="10303.0" w:type="dxa"/>
        <w:jc w:val="left"/>
        <w:tblInd w:w="0.0" w:type="dxa"/>
        <w:tblLayout w:type="fixed"/>
        <w:tblLook w:val="0000"/>
      </w:tblPr>
      <w:tblGrid>
        <w:gridCol w:w="7537"/>
        <w:gridCol w:w="783"/>
        <w:gridCol w:w="707"/>
        <w:gridCol w:w="1276"/>
        <w:tblGridChange w:id="0">
          <w:tblGrid>
            <w:gridCol w:w="7537"/>
            <w:gridCol w:w="783"/>
            <w:gridCol w:w="707"/>
            <w:gridCol w:w="1276"/>
          </w:tblGrid>
        </w:tblGridChange>
      </w:tblGrid>
      <w:tr>
        <w:trPr>
          <w:trHeight w:val="48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da compilare a cura dell'interessato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Anni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Punti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Riservato al Dir.Scol. </w:t>
            </w:r>
          </w:p>
        </w:tc>
      </w:tr>
      <w:tr>
        <w:trPr>
          <w:trHeight w:val="4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left"/>
              <w:rPr>
                <w:rFonts w:ascii="Times" w:cs="Times" w:eastAsia="Times" w:hAnsi="Times"/>
                <w:b w:val="0"/>
                <w:i w:val="0"/>
                <w:smallCaps w:val="0"/>
                <w:strike w:val="0"/>
                <w:color w:val="000000"/>
                <w:sz w:val="21"/>
                <w:szCs w:val="21"/>
                <w:u w:val="none"/>
                <w:shd w:fill="auto" w:val="clear"/>
                <w:vertAlign w:val="baseline"/>
              </w:rPr>
            </w:pP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I -ANZIANITÀ DI SERVIZIO: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47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per ogni anno di servizio comunque prestato, successivamente alla decorrenza giuridica della nomina, nel ruolo di appartenenza(l)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(comune)</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Punti 12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(sostegno)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7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Al) per ogni anno di servizio effettivamente prestato (2) dopo la nomina nel ruolo di appartenenza (1) in scuole o istituti situati nelle piccole isole (3) in aggiunta al punteggio di cui al punto A)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Punti 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(comune)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Punti 12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(sostegno)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per ogni anno di servizio preruolo o di altro servizio di ruolo riconosciuto o riconoscibile ai fini della carriera e per ogni anno di servizio preruolo o di altro servizio di ruolo prestato nella scuola dell’infanzia (4)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93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118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B2) (valido solo per i docenti della scuola primaria) per ogni anno di servizio di ruolo effettivamente prestato come "specialista" per l'insegnamento della lingua straniera dall'anno scolastico 92/93 fino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all' anno scolastico 97/98 (in aggiunta al punteggio di cui alle lettere B e B1) rispettivamente: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 il servizio </w:t>
            </w:r>
            <w:r w:rsidDel="00000000" w:rsidR="00000000" w:rsidRPr="00000000">
              <w:rPr>
                <w:rFonts w:ascii="Times" w:cs="Times" w:eastAsia="Times" w:hAnsi="Times"/>
                <w:b w:val="0"/>
                <w:i w:val="0"/>
                <w:smallCaps w:val="0"/>
                <w:strike w:val="0"/>
                <w:color w:val="000000"/>
                <w:sz w:val="4"/>
                <w:szCs w:val="4"/>
                <w:u w:val="none"/>
                <w:shd w:fill="auto" w:val="clear"/>
                <w:vertAlign w:val="baseline"/>
                <w:rtl w:val="0"/>
              </w:rPr>
              <w:t xml:space="preserve">é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prestato nell'ambito del plesso di titolarità .....................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0,5</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 il servizio </w:t>
            </w:r>
            <w:r w:rsidDel="00000000" w:rsidR="00000000" w:rsidRPr="00000000">
              <w:rPr>
                <w:rFonts w:ascii="Times" w:cs="Times" w:eastAsia="Times" w:hAnsi="Times"/>
                <w:b w:val="0"/>
                <w:i w:val="0"/>
                <w:smallCaps w:val="0"/>
                <w:strike w:val="0"/>
                <w:color w:val="000000"/>
                <w:sz w:val="4"/>
                <w:szCs w:val="4"/>
                <w:u w:val="none"/>
                <w:shd w:fill="auto" w:val="clear"/>
                <w:vertAlign w:val="baseline"/>
                <w:rtl w:val="0"/>
              </w:rPr>
              <w:t xml:space="preserve">é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stato prestato al di fuori del plesso di titolarità ................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16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Per ogni ulteriore anno di servizio:</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entro il quinquennio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oltre il quinquennio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3</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per il servizio prestato nelle piccole isole il punteggio si raddoppia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53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0) Per ogni anno di servizio di ruolo prestato nella sede di attuale titolarità senza soluzione di continuità in aggiunta a quello previsto dalle lettere A), A1), B), B1), B2), B3) ...…………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199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Cl) per i docenti della scuola primaria: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per il servizio di ruolo effettivamente prestato per un solo triennio senza soluzione di continuità, a partire dall' anno scolastico 92/93 fino all' anno scolastico 97/98, come docente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specializzato"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per l'insegnamento della lingua straniera (in aggiunta a quello previsto dalle lettere A), Al), B), B2), C)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1,5</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3</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9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l0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II -ESIGENZE DI FAMIGLIA (6) (7):</w:t>
      </w:r>
      <w:r w:rsidDel="00000000" w:rsidR="00000000" w:rsidRPr="00000000">
        <w:rPr>
          <w:rtl w:val="0"/>
        </w:rPr>
      </w:r>
    </w:p>
    <w:tbl>
      <w:tblPr>
        <w:tblStyle w:val="Table2"/>
        <w:tblW w:w="10353.0" w:type="dxa"/>
        <w:jc w:val="left"/>
        <w:tblInd w:w="0.0" w:type="dxa"/>
        <w:tblLayout w:type="fixed"/>
        <w:tblLook w:val="0000"/>
      </w:tblPr>
      <w:tblGrid>
        <w:gridCol w:w="7720"/>
        <w:gridCol w:w="1363"/>
        <w:gridCol w:w="1270"/>
        <w:tblGridChange w:id="0">
          <w:tblGrid>
            <w:gridCol w:w="7720"/>
            <w:gridCol w:w="1363"/>
            <w:gridCol w:w="1270"/>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Tipo di esigenza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Riservato al Dir.Scol.</w:t>
            </w:r>
          </w:p>
        </w:tc>
      </w:tr>
      <w:tr>
        <w:trPr>
          <w:trHeight w:val="67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per ricongiungimento al coniuge ovvero, nel caso di docenti senza coniuge o separati giudizialmente o consensualmente con atto omologato dal tribunale, per ricongiungimento ai genitori o ai figli (7)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6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per ogni figlio di età inferiore a sei anni (8)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7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 per ogni figlio di età superiore ai sei anni, ma che non abbia superato il diciottesimo anno di età (8) ovvero per ogni figlio maggiorenne che risulti totalmente o permanentemente inabile a proficuo lavoro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69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 per la cura e l'assistenza dei figli minorati fisici, psichici o sensoriali, tossicodipendenti, ovvero del coniuge o del genitore totalmente e permanentemente inabili al lavoro che possono essere assistiti soltanto nel comune richiesto (9)                                                                                                  </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Punti 6</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left"/>
        <w:rPr>
          <w:rFonts w:ascii="Times" w:cs="Times" w:eastAsia="Times" w:hAnsi="Times"/>
          <w:b w:val="0"/>
          <w:i w:val="0"/>
          <w:smallCaps w:val="0"/>
          <w:strike w:val="0"/>
          <w:color w:val="000000"/>
          <w:sz w:val="21"/>
          <w:szCs w:val="21"/>
          <w:u w:val="none"/>
          <w:shd w:fill="auto" w:val="clear"/>
          <w:vertAlign w:val="baseline"/>
        </w:rPr>
      </w:pPr>
      <w:r w:rsidDel="00000000" w:rsidR="00000000" w:rsidRPr="00000000">
        <w:rPr>
          <w:rFonts w:ascii="Times" w:cs="Times" w:eastAsia="Times" w:hAnsi="Times"/>
          <w:b w:val="0"/>
          <w:i w:val="0"/>
          <w:smallCaps w:val="0"/>
          <w:strike w:val="0"/>
          <w:color w:val="000000"/>
          <w:sz w:val="21"/>
          <w:szCs w:val="21"/>
          <w:u w:val="none"/>
          <w:shd w:fill="auto" w:val="clear"/>
          <w:vertAlign w:val="baseline"/>
          <w:rtl w:val="0"/>
        </w:rPr>
        <w:t xml:space="preserve">III -TITOLI GENERALI (15): </w:t>
      </w:r>
    </w:p>
    <w:tbl>
      <w:tblPr>
        <w:tblStyle w:val="Table3"/>
        <w:tblW w:w="10363.0" w:type="dxa"/>
        <w:jc w:val="left"/>
        <w:tblInd w:w="0.0" w:type="dxa"/>
        <w:tblLayout w:type="fixed"/>
        <w:tblLook w:val="0000"/>
      </w:tblPr>
      <w:tblGrid>
        <w:gridCol w:w="7735"/>
        <w:gridCol w:w="1348"/>
        <w:gridCol w:w="1280"/>
        <w:tblGridChange w:id="0">
          <w:tblGrid>
            <w:gridCol w:w="7735"/>
            <w:gridCol w:w="1348"/>
            <w:gridCol w:w="1280"/>
          </w:tblGrid>
        </w:tblGridChange>
      </w:tblGrid>
      <w:tr>
        <w:trPr>
          <w:trHeight w:val="39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Tipo di titolo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Punti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Riservato al Dir.Scol. </w:t>
            </w:r>
          </w:p>
        </w:tc>
      </w:tr>
      <w:tr>
        <w:trPr>
          <w:trHeight w:val="62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A) per il superamento di un pubblico concorso ordinario per esami e titoli, per l'accesso al ruolo di appartenenza (1), al momento della presentazione della domanda, o a ruoli di livello pari o superiore a quello di appartenenza (10)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12</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15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per ogni diploma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5</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(è valutabile un solo diploma, per lo stesso o gli stessi anni accademici o di corso)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55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C) per ogni diploma universitario (diploma accademico di primo livello, laurea di primo livello o breve o diploma Istituto Superiore di Educazione Fisica (ISEF), conseguito oltre al titolo di studio attualmente necessario per</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l'accesso al ruolo di appartenenza (12)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1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per ogni corso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(è valutabile un solo corso, per lo stesso o gli stessi anni accademici)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9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5</w:t>
            </w: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41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F) per il conseguimento del titolo di "dottorato di ricerca"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5</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(si valuta un solo titolo)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68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81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N.B.: il certificato viene rilasciato solo a chi</w:t>
            </w:r>
          </w:p>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È in possesso di certificazione di Livello C1 del QCER (art 4 comma 2)</w:t>
            </w:r>
          </w:p>
          <w:p w:rsidR="00000000" w:rsidDel="00000000" w:rsidP="00000000" w:rsidRDefault="00000000" w:rsidRPr="00000000" w14:paraId="0000008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Ha frequentato il corso metodologico</w:t>
            </w:r>
          </w:p>
          <w:p w:rsidR="00000000" w:rsidDel="00000000" w:rsidP="00000000" w:rsidRDefault="00000000" w:rsidRPr="00000000" w14:paraId="0000008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Sostenuto la prova finale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L) CLIL per i docenti NON in possesso di Certificazione di livello C1, ma che avendo svolto la parte metodologica presso le strutture universitarie, sono in possesso di un ATTESTATO di frequenza al corso di perfezionamento.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Punti 0,5</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N.B.: in questo caso il docente ha una competenza linguistica B2 NON certificata, ma ha frequentato il corso e superato l’esame finale.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46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1"/>
                <w:smallCaps w:val="0"/>
                <w:strike w:val="0"/>
                <w:color w:val="000000"/>
                <w:sz w:val="16"/>
                <w:szCs w:val="16"/>
                <w:u w:val="none"/>
                <w:shd w:fill="auto" w:val="clear"/>
                <w:vertAlign w:val="baseline"/>
              </w:rPr>
            </w:pPr>
            <w:r w:rsidDel="00000000" w:rsidR="00000000" w:rsidRPr="00000000">
              <w:rPr>
                <w:rFonts w:ascii="Times" w:cs="Times" w:eastAsia="Times" w:hAnsi="Times"/>
                <w:b w:val="1"/>
                <w:i w:val="1"/>
                <w:smallCaps w:val="0"/>
                <w:strike w:val="0"/>
                <w:color w:val="000000"/>
                <w:sz w:val="16"/>
                <w:szCs w:val="16"/>
                <w:u w:val="none"/>
                <w:shd w:fill="auto" w:val="clear"/>
                <w:vertAlign w:val="baseline"/>
                <w:rtl w:val="0"/>
              </w:rPr>
              <w:t xml:space="preserve">N.B. i titoli relativi a  B), C), D), E), F), G),  I), L), anche cumulabili tra di loro, sono valutati fino ad un massimo di                                                                                                                                                                      Punti  l0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trHeight w:val="2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6"/>
                <w:szCs w:val="16"/>
                <w:u w:val="none"/>
                <w:shd w:fill="auto" w:val="clear"/>
                <w:vertAlign w:val="baseline"/>
              </w:rPr>
            </w:pPr>
            <w:r w:rsidDel="00000000" w:rsidR="00000000" w:rsidRPr="00000000">
              <w:rPr>
                <w:rFonts w:ascii="Times" w:cs="Times" w:eastAsia="Times" w:hAnsi="Times"/>
                <w:b w:val="1"/>
                <w:i w:val="0"/>
                <w:smallCaps w:val="0"/>
                <w:strike w:val="0"/>
                <w:color w:val="000000"/>
                <w:sz w:val="16"/>
                <w:szCs w:val="16"/>
                <w:u w:val="none"/>
                <w:shd w:fill="auto" w:val="clear"/>
                <w:vertAlign w:val="baseline"/>
                <w:rtl w:val="0"/>
              </w:rPr>
              <w:t xml:space="preserve">TOTALE PUNTI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Si allega una dichiarazione, conforme agli all. D), F)</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allegano i seguenti documenti attestanti il possesso dei titoli di cui ai punti II (esigenze di famiglia) e III (titoli generali):</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 .......................................                                             firma .............................................................................................. .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NOTE COMUNI ALLE TABELLE DEI TRASFERIMENTI A DOMANDA E D’UFFICIO E DEI PASSAGGI DEI DOCENTI DELLE SCUOLE DELL’INFANZIA, PRIMARIA, SECONDARIA DI I GRADO E DEGLI ISTITUTI DI ISTRUZIONE SECONDARIA DI II GRADO ED ARTISTICA E DEL PERSONALE EDUCATIVO</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R E M E S S A</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fini dell’attribuzione del punteggio per le domande di trasferimento, per le domande di passaggio di ruolo e per l’individuazione del perdente posto si precisa quanto segue: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nell’anzianità di servizio non si tiene conto dell’anno scolastico in corso;</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 valutazione dei titoli vengono considerati quelli posseduti entro il termine previsto per la presentazione della domanda;</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valutazione del servizio di cui alle lettere A), A1) e B) è riconosciuta anche al personale proveniente dagli Enti Locali e che abbia svolto, prima del trasferimento allo Stato, effettivo servizio di docente nelle scuole statali.</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primi 4 anni  (valutati per intero)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4 anni  x 3 punti  = 12 punti</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rimanenti  2 anni (valutati due terzi)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2/3 x 2 anni x 3 punti  =  4  punti</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12 punti  + 4 punti                </w:t>
      </w:r>
      <w:r w:rsidDel="00000000" w:rsidR="00000000" w:rsidRPr="00000000">
        <w:rPr>
          <w:rFonts w:ascii="Symbol" w:cs="Symbol" w:eastAsia="Symbol" w:hAnsi="Symbol"/>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16 punti.</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servizio prestato nelle scuole paritarie non è valutabile in quanto non riconoscibile ai fini della ricostruzione di carriera.</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 O T E</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Il ruolo di appartenenza va riferito rispettivamente: a) alla scuola dell’infanzia; b) alla scuola primaria; c) alla scuola secondaria di I grado; d) agli istituti di istruzione secondaria di II grado e artistica.</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il servizio prestato, a decorrere dall'anno scolastico 1978/79, dalle assistenti di scuola materna statale utilizzate, ai sensi dell'articolo 8 della legge n. 463/78, come insegnanti di scuola materna.</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anno di servizio prestato nei paesi in via di sviluppo il punteggio è raddoppiato.</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La dizione “piccole isole” è comprensiva di tutte le isole del territorio italiano, ad eccezione, ovviamente, delle due isole maggiori (Sicilia e Sardegna).</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aggiuntivo previsto per il servizio prestato nelle piccole isole è attribuito indipendentemente dal luogo di residenza dell’interessato.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Va valutata nella misura prevista dalla presente voce, l'anzianità derivante da decorrenza giuridica della nomina anteriore alla decorrenza economica, se non è stato prestato alcun servizio o se il servizio non è stato prestato nel ruolo di appartenenza.</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Nella stessa misura va valutato, altresì, il servizio del personale educativo transitato nel ruolo degli insegnanti della scuola primaria e viceversa.</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la scuola primaria, il trasferimento tra i posti dell’organico (comune e lingua) nello stesso circolo non interrompe la continuità di servizio.</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 tale ultimo requisito si prescinde limitatamente al solo personale beneficiario della precedenza di cui all’art. 7, titolo I, punto II), - Personale trasferito d’ufficio nell’ultimo ottennio del presente contratto.</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il punteggio in questione viene riconosciuto anche per la formulazione della graduatoria interna di istituto ai fini dell’individuazione del soprannumerario da trasferire d’ufficio.</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continuità didattica, legata alla scuola di ex-titolarità, del personale scolastico trasferito d’ufficio nell’ultimo ottennio va considerata ai fini della sola domanda di trasferimento e non anche della domanda di passaggio.</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va attribuito se la scuola di titolarità giuridica e la scuola in cui l'interessato ha prestato servizio continuativo coincidono per il periodo considerato.</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 va valutato l'anno scolastico in corso al momento della presentazione della domanda.</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bis) Ai fini della formazione della graduatoria per l’individuazione del soprannumerario ed ai fini del trasferimento d’ufficio, fermo restando quanto precisato nella nota 5, la continuità didattica nella scuola di attuale titolarità viene così valutata:</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8364.0" w:type="dxa"/>
        <w:jc w:val="left"/>
        <w:tblInd w:w="637.0" w:type="dxa"/>
        <w:tblBorders>
          <w:top w:color="000000" w:space="0" w:sz="6" w:val="single"/>
          <w:left w:color="000000" w:space="0" w:sz="6" w:val="single"/>
          <w:bottom w:color="000000" w:space="0" w:sz="6" w:val="single"/>
          <w:right w:color="000000" w:space="0" w:sz="6" w:val="single"/>
        </w:tblBorders>
        <w:tblLayout w:type="fixed"/>
        <w:tblLook w:val="0000"/>
      </w:tblPr>
      <w:tblGrid>
        <w:gridCol w:w="6946"/>
        <w:gridCol w:w="1418"/>
        <w:tblGridChange w:id="0">
          <w:tblGrid>
            <w:gridCol w:w="6946"/>
            <w:gridCol w:w="1418"/>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Per ogni anno di servizio di ruolo prestato nella scuola di attuale titolarità senza  soluzione di continuità in aggiunta a quello previsto dalle lettere A), A1), B), B1), B2), B3) </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entro  il  quinquennio.................................................................……………</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oltre   il  quinquennio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2</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3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Sempre ai fini della formazione della graduatoria per l’individuazione del soprannumerario ed ai fini del trasferimento d’ufficio, viene valutata anche la continuità di servizio nella sede di attuale titolarità, nella seguente misura:</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5"/>
        <w:tblW w:w="8364.0" w:type="dxa"/>
        <w:jc w:val="left"/>
        <w:tblInd w:w="637.0" w:type="dxa"/>
        <w:tblBorders>
          <w:top w:color="000000" w:space="0" w:sz="6" w:val="single"/>
          <w:left w:color="000000" w:space="0" w:sz="6" w:val="single"/>
          <w:bottom w:color="000000" w:space="0" w:sz="6" w:val="single"/>
          <w:right w:color="000000" w:space="0" w:sz="6" w:val="single"/>
        </w:tblBorders>
        <w:tblLayout w:type="fixed"/>
        <w:tblLook w:val="0000"/>
      </w:tblPr>
      <w:tblGrid>
        <w:gridCol w:w="6946"/>
        <w:gridCol w:w="1418"/>
        <w:tblGridChange w:id="0">
          <w:tblGrid>
            <w:gridCol w:w="6946"/>
            <w:gridCol w:w="1418"/>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0) Per ogni anno di servizio di ruolo prestato nella sede di attuale titolarità senza soluzione di continuità in aggiunta a quello previsto dalle lettere A), A1), B), B1), B2), B3)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 </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trasferimento dal sostegno a posto comune o viceversa interrompe la continuità di servizio nella scuola e nel comune.</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non va attribuito ai docenti titolari di sede distrettuale (su posto per l’istruzione dell’età adulta).</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Qualora il docente al termine dell’ottennio non sia rientrato nella scuola di precedente titolarità ma in altra scuola dello stesso comune, ha titolo al mantenimento del punteggio di cui alla lett. C 0) anche per tutti gli 8 anni dell’ottennio.</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 va valutato l'anno scolastico in corso al momento di presentazione della domanda.</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di cui alla lettera C 0) non è cumulabile per lo stesso anno scolastico con quello previsto dalla lettera C).</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fini della maturazione una tantum del punteggio è utile un triennio compreso nel periodo intercorrente tra le domande di mobilità per l’anno scolastico 2000-2001 e quelle per l’anno scolastico 2007-2008.</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 le domande di mobilità per l’anno scolastico 2007/2008 si è, infatti, concluso il periodo utile per l’acquisizione del punteggio aggiuntivo a seguito della maturazione del triennio.</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viene, inoltre, riconosciuto anche a coloro che, nel suddetto periodo, hanno presentato in ambito provinciale:</w:t>
      </w:r>
    </w:p>
    <w:p w:rsidR="00000000" w:rsidDel="00000000" w:rsidP="00000000" w:rsidRDefault="00000000" w:rsidRPr="00000000" w14:paraId="000001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domanda condizionata di trasferimento, in quanto individuati soprannumerari;</w:t>
      </w:r>
    </w:p>
    <w:p w:rsidR="00000000" w:rsidDel="00000000" w:rsidP="00000000" w:rsidRDefault="00000000" w:rsidRPr="00000000" w14:paraId="000001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domanda di trasferimento per la scuola primaria tra i posti comune e lingua straniera nell’organico dello stesso circolo di titolarità;</w:t>
      </w:r>
    </w:p>
    <w:p w:rsidR="00000000" w:rsidDel="00000000" w:rsidP="00000000" w:rsidRDefault="00000000" w:rsidRPr="00000000" w14:paraId="000001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domanda di rientro nella scuola di precedente titolarità, nel quinquennio di fruizione del diritto alla precedenza di cui ai punti II e IV dell’art. 7, comma 1 del CCNI.</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Analogamente non perde il riconoscimento del punteggio aggiuntivo il docente trasferito d’ufficio o a domanda condizionata che nel periodo di cui sopra non chiede il rientro nella scuola di precedente titolarità.</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ogni caso la sola presentazione della domanda di mobilità, anche in ambito provinciale, non determina la perdita del punteggio aggiuntivo una volta che lo stesso è stato acquisito.</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Il punteggio spetta per il comune di residenza dei familiari a condizione che essi, alla data di pubblicazione dell'ordinanza, vi risiedano effettivamente con iscrizione anagrafica da almeno tre mesi.</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 situazioni di cui al presente titolo non si valutano per i trasferimenti nell'ambito della stessa sede (per sede si intende “comune”).</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B) e lettera C) valgono sempre;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punteggio così calcolato viene utilizzato anche nelle operazioni di trasferimento d’ufficio del soprannumerario.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 Il punteggio va attribuito anche per i figli che compiono i sei anni o i diciotto tra il 1° gennaio e il 31 dicembre dell’anno in cui si effettua il trasferimento.</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 La valutazione è attribuita nei seguenti casi:</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figlio minorato, ovvero coniuge o genitore, ricoverati permanentemente in un istituto di cura;</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 figlio minorato, ovvero coniuge o genitore bisognosi di cure continuative presso un istituto di cura tali da comportare di necessità la residenza nella sede dello istituto medesimo.</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Si precisa che ai sensi della lettera B) si valuta un solo pubblico concorso.</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concorsi ordinari a posti di personale educativo sono da considerare di livello pari ai concorsi della scuola primaria.</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concorsi a posti di personale ispettivo e dirigente scolastico sono da considerare di livello superiore rispetto ai concorsi a posti di insegnamento.</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Sono ovviamente esclusi i concorsi riservati per il conseguimento dell’abilitazione o dell’idoneità all’insegnamento e la partecipazione a concorsi ordinari ai soli fini del conseguimento dell’abilitazione.</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Ai sensi dell’art. 5 del D.M. 5 maggio 1973, sono esclusi coloro che hanno conseguito la sola abilitazione riportando un punteggio inferiore a 52,50/75 nei concorsi ordinari per l’accesso a posti e cattedre nella scuola banditi antecedentemente alla legge 270/82.</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Tale punteggio spetta anche per l’accesso a tutte le classi di concorso appartenenti allo stesso ambito disciplinare per il quale si è conseguita l’idoneità in un concorso ordinario per esami e titoli bandito in attuazione della legge 124/1999.</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Detti titoli non possono essere, infatti, considerati titoli generali aggiuntivi in quanto validi sia per l’accesso ai ruoli sia per il passaggio.</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 laurea triennale o di I livello che consente l’accesso alla laurea specialistica o magistrale non dà diritto ad avvalersi di ulteriore punteggio rispetto a queste ultime.</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000000" w:rsidDel="00000000" w:rsidP="00000000" w:rsidRDefault="00000000" w:rsidRPr="00000000" w14:paraId="0000014E">
      <w:pPr>
        <w:ind w:left="60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none"/>
          <w:rtl w:val="0"/>
        </w:rPr>
        <w:t xml:space="preserve">Il diploma di laurea in scienze della formazione primaria non si valuta in quanto è un titolo richiesto per l’accesso al ruolo di appartenenza. Pertanto</w:t>
      </w:r>
      <w:r w:rsidDel="00000000" w:rsidR="00000000" w:rsidRPr="00000000">
        <w:rPr>
          <w:rFonts w:ascii="Times New Roman" w:cs="Times New Roman" w:eastAsia="Times New Roman" w:hAnsi="Times New Roman"/>
          <w:sz w:val="18"/>
          <w:szCs w:val="18"/>
          <w:rtl w:val="0"/>
        </w:rPr>
        <w:t xml:space="preserve">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diploma di laurea in Didattica della musica non si valuta:</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ai docenti titolari delle classi di concorso A031 e A032 in quanto titolo richiesto per l’accesso al ruolo di appartenenza;</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ai docenti titolari della classe di concorso A077 qualora riconosciuto come titolo valido ope legis ai fini dell’accesso a tale classe di concorso (art. 1, comma 2 bis L. n. 333/2001; art. 2, comma 4 bis L. n. 143/2004; art. 1, comma 605 L. n. 296/2006).</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(13) Il punteggio può essere attribuito anche al personale diplomato.</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 I corsi tenuti a decorrere dall’anno accademico 2005/06 saranno valutati esclusivamente se di durata annuale, con 1500 ore complessive di impegno, con un riconoscimento di 60 CFU e con esame finale.</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(15) Limitatamente alla mobilità nell’ambito dell’insegnamento della religione cattolica sono considerati validi i titoli previsti dal D.P.R. 751/85 e specificati dal DM 15.7.87 e successive modificazioni ed integrazioni.</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(16) Il punteggio viene attribuito per il conseguimento di un solo titolo linguistico.</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13" w:right="0" w:hanging="571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426" w:top="709" w:left="743" w:right="788" w:header="284" w:footer="1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Symbol"/>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SCHEDA PER L'INDIVIDUAZIONE DEI DOCENTI SOPRANNUMERARI PER L’A.S. 2021/22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460" w:hanging="340"/>
      </w:pPr>
      <w:rPr>
        <w:rFonts w:ascii="Arial" w:cs="Arial" w:eastAsia="Arial" w:hAnsi="Arial"/>
        <w:b w:val="1"/>
        <w:i w:val="0"/>
        <w:sz w:val="20"/>
        <w:szCs w:val="20"/>
      </w:rPr>
    </w:lvl>
    <w:lvl w:ilvl="1">
      <w:start w:val="3"/>
      <w:numFmt w:val="bullet"/>
      <w:lvlText w:val="-"/>
      <w:lvlJc w:val="left"/>
      <w:pPr>
        <w:ind w:left="1420" w:hanging="340"/>
      </w:pPr>
      <w:rPr>
        <w:rFonts w:ascii="Arial" w:cs="Arial" w:eastAsia="Arial" w:hAnsi="Arial"/>
        <w:b w:val="1"/>
        <w:i w:val="0"/>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pacing w:after="200" w:line="276" w:lineRule="auto"/>
    </w:pPr>
    <w:rPr>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Default" w:customStyle="1">
    <w:name w:val="Default"/>
    <w:pPr>
      <w:widowControl w:val="0"/>
      <w:autoSpaceDE w:val="0"/>
      <w:autoSpaceDN w:val="0"/>
      <w:adjustRightInd w:val="0"/>
    </w:pPr>
    <w:rPr>
      <w:rFonts w:ascii="Times-New-Roman" w:cs="Times-New-Roman" w:hAnsi="Times-New-Roman"/>
      <w:color w:val="000000"/>
      <w:sz w:val="24"/>
      <w:szCs w:val="24"/>
    </w:rPr>
  </w:style>
  <w:style w:type="paragraph" w:styleId="CM1" w:customStyle="1">
    <w:name w:val="CM1"/>
    <w:basedOn w:val="Default"/>
    <w:next w:val="Default"/>
    <w:uiPriority w:val="99"/>
    <w:rPr>
      <w:rFonts w:cs="Times New Roman"/>
      <w:color w:val="auto"/>
    </w:rPr>
  </w:style>
  <w:style w:type="paragraph" w:styleId="CM6" w:customStyle="1">
    <w:name w:val="CM6"/>
    <w:basedOn w:val="Default"/>
    <w:next w:val="Default"/>
    <w:uiPriority w:val="99"/>
    <w:pPr>
      <w:spacing w:after="240"/>
    </w:pPr>
    <w:rPr>
      <w:rFonts w:cs="Times New Roman"/>
      <w:color w:val="auto"/>
    </w:rPr>
  </w:style>
  <w:style w:type="paragraph" w:styleId="CM2" w:customStyle="1">
    <w:name w:val="CM2"/>
    <w:basedOn w:val="Default"/>
    <w:next w:val="Default"/>
    <w:uiPriority w:val="99"/>
    <w:pPr>
      <w:spacing w:line="233" w:lineRule="atLeast"/>
    </w:pPr>
    <w:rPr>
      <w:rFonts w:cs="Times New Roman"/>
      <w:color w:val="auto"/>
    </w:rPr>
  </w:style>
  <w:style w:type="paragraph" w:styleId="CM7" w:customStyle="1">
    <w:name w:val="CM7"/>
    <w:basedOn w:val="Default"/>
    <w:next w:val="Default"/>
    <w:uiPriority w:val="99"/>
    <w:pPr>
      <w:spacing w:after="355"/>
    </w:pPr>
    <w:rPr>
      <w:rFonts w:cs="Times New Roman"/>
      <w:color w:val="auto"/>
    </w:rPr>
  </w:style>
  <w:style w:type="paragraph" w:styleId="CM8" w:customStyle="1">
    <w:name w:val="CM8"/>
    <w:basedOn w:val="Default"/>
    <w:next w:val="Default"/>
    <w:uiPriority w:val="99"/>
    <w:pPr>
      <w:spacing w:after="145"/>
    </w:pPr>
    <w:rPr>
      <w:rFonts w:cs="Times New Roman"/>
      <w:color w:val="auto"/>
    </w:rPr>
  </w:style>
  <w:style w:type="paragraph" w:styleId="CM3" w:customStyle="1">
    <w:name w:val="CM3"/>
    <w:basedOn w:val="Default"/>
    <w:next w:val="Default"/>
    <w:uiPriority w:val="99"/>
    <w:pPr>
      <w:spacing w:line="228" w:lineRule="atLeast"/>
    </w:pPr>
    <w:rPr>
      <w:rFonts w:cs="Times New Roman"/>
      <w:color w:val="auto"/>
    </w:rPr>
  </w:style>
  <w:style w:type="paragraph" w:styleId="CM5" w:customStyle="1">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val="1"/>
    <w:rsid w:val="0034586E"/>
    <w:pPr>
      <w:tabs>
        <w:tab w:val="center" w:pos="4819"/>
        <w:tab w:val="right" w:pos="9638"/>
      </w:tabs>
    </w:pPr>
    <w:rPr>
      <w:sz w:val="20"/>
      <w:szCs w:val="20"/>
    </w:rPr>
  </w:style>
  <w:style w:type="character" w:styleId="IntestazioneCarattere" w:customStyle="1">
    <w:name w:val="Intestazione Carattere"/>
    <w:link w:val="Intestazione"/>
    <w:uiPriority w:val="99"/>
    <w:locked w:val="1"/>
    <w:rsid w:val="0034586E"/>
    <w:rPr>
      <w:rFonts w:cs="Times New Roman"/>
    </w:rPr>
  </w:style>
  <w:style w:type="paragraph" w:styleId="Pidipagina">
    <w:name w:val="footer"/>
    <w:basedOn w:val="Normale"/>
    <w:link w:val="PidipaginaCarattere"/>
    <w:uiPriority w:val="99"/>
    <w:unhideWhenUsed w:val="1"/>
    <w:rsid w:val="0034586E"/>
    <w:pPr>
      <w:tabs>
        <w:tab w:val="center" w:pos="4819"/>
        <w:tab w:val="right" w:pos="9638"/>
      </w:tabs>
    </w:pPr>
    <w:rPr>
      <w:sz w:val="20"/>
      <w:szCs w:val="20"/>
    </w:rPr>
  </w:style>
  <w:style w:type="character" w:styleId="PidipaginaCarattere" w:customStyle="1">
    <w:name w:val="Piè di pagina Carattere"/>
    <w:link w:val="Pidipagina"/>
    <w:uiPriority w:val="99"/>
    <w:locked w:val="1"/>
    <w:rsid w:val="0034586E"/>
    <w:rPr>
      <w:rFonts w:cs="Times New Roman"/>
    </w:rPr>
  </w:style>
  <w:style w:type="paragraph" w:styleId="Corpotesto">
    <w:name w:val="Body Text"/>
    <w:basedOn w:val="Normale"/>
    <w:link w:val="CorpotestoCarattere"/>
    <w:uiPriority w:val="99"/>
    <w:unhideWhenUsed w:val="1"/>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styleId="CorpotestoCarattere" w:customStyle="1">
    <w:name w:val="Corpo testo Carattere"/>
    <w:link w:val="Corpotesto"/>
    <w:uiPriority w:val="99"/>
    <w:locked w:val="1"/>
    <w:rsid w:val="0034586E"/>
    <w:rPr>
      <w:rFonts w:ascii="Times New Roman" w:cs="Times New Roman" w:hAnsi="Times New Roman"/>
      <w:sz w:val="18"/>
      <w:szCs w:val="18"/>
    </w:rPr>
  </w:style>
  <w:style w:type="character" w:styleId="Collegamentoipertestuale">
    <w:name w:val="Hyperlink"/>
    <w:rsid w:val="00F21474"/>
    <w:rPr>
      <w:color w:val="0000ff"/>
      <w:u w:val="single"/>
    </w:rPr>
  </w:style>
  <w:style w:type="paragraph" w:styleId="testo" w:customStyle="1">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val="1"/>
    <w:unhideWhenUsed w:val="1"/>
    <w:rsid w:val="001A01ED"/>
    <w:pPr>
      <w:spacing w:after="0" w:line="240" w:lineRule="auto"/>
    </w:pPr>
    <w:rPr>
      <w:rFonts w:ascii="Segoe UI" w:cs="Segoe UI" w:hAnsi="Segoe UI"/>
      <w:sz w:val="18"/>
      <w:szCs w:val="18"/>
    </w:rPr>
  </w:style>
  <w:style w:type="character" w:styleId="TestofumettoCarattere" w:customStyle="1">
    <w:name w:val="Testo fumetto Carattere"/>
    <w:link w:val="Testofumetto"/>
    <w:uiPriority w:val="99"/>
    <w:semiHidden w:val="1"/>
    <w:rsid w:val="001A01ED"/>
    <w:rPr>
      <w:rFonts w:ascii="Segoe UI" w:cs="Segoe UI" w:hAnsi="Segoe UI"/>
      <w:sz w:val="18"/>
      <w:szCs w:val="18"/>
    </w:rPr>
  </w:style>
  <w:style w:type="paragraph" w:styleId="Stile" w:customStyle="1">
    <w:name w:val="Stile"/>
    <w:rsid w:val="00237B07"/>
    <w:pPr>
      <w:widowControl w:val="0"/>
      <w:autoSpaceDE w:val="0"/>
      <w:autoSpaceDN w:val="0"/>
      <w:adjustRightInd w:val="0"/>
    </w:pPr>
    <w:rPr>
      <w:rFonts w:ascii="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oMjR4W6qSkLsX6Huh5xo7aLw==">AMUW2mXX+jzy3cix0OQaUnx4e7pwUMSHXPCvEpt/D7dHnPRULIz8KfN7yaXxDeUxUr9z0i1ygy6Hvm7Hkh5F9P6mh67oa9TA15ylV7gWNLOmDP121DzHYxUn5Lg2Mm8jeuYuMnfzoWkr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2020-03-09T12:02:00Z</dcterms:created>
  <dc:creator>User</dc:creator>
</cp:coreProperties>
</file>